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F3803" w14:textId="77777777" w:rsidR="0084564D" w:rsidRDefault="0084564D" w:rsidP="00644F0C">
      <w:pPr>
        <w:jc w:val="both"/>
        <w:rPr>
          <w:rFonts w:ascii="Arial" w:hAnsi="Arial" w:cs="Arial"/>
          <w:b/>
          <w:bCs/>
        </w:rPr>
      </w:pPr>
      <w:r w:rsidRPr="0084564D">
        <w:rPr>
          <w:rFonts w:ascii="Arial" w:hAnsi="Arial" w:cs="Arial"/>
          <w:b/>
          <w:bCs/>
        </w:rPr>
        <w:t>Nebulizador B&amp;G FLEX-I-LITE 2600</w:t>
      </w:r>
    </w:p>
    <w:p w14:paraId="4BFCD039" w14:textId="75DD9E57" w:rsidR="00644F0C" w:rsidRPr="00644F0C" w:rsidRDefault="0084564D" w:rsidP="00644F0C">
      <w:pPr>
        <w:jc w:val="both"/>
        <w:rPr>
          <w:rFonts w:ascii="Arial" w:hAnsi="Arial" w:cs="Arial"/>
          <w:b/>
          <w:bCs/>
        </w:rPr>
      </w:pPr>
      <w:r w:rsidRPr="0084564D">
        <w:rPr>
          <w:rFonts w:ascii="Arial" w:hAnsi="Arial" w:cs="Arial"/>
        </w:rPr>
        <w:t xml:space="preserve">Los nebulizadores de alta resistencia de B&amp;G se utilizan para el control de insectos voladores en todo el mundo. Son ideales para cuentas comerciales y residenciales debido a su tamaño compacto, estabilidad y 1,5 gal. capacidad. El mango y el tanque son de una sola pieza y la unidad está moldeada por rotación para una máxima resistencia. El tamaño de gota disponible con el modelo 2600 se extiende desde una niebla de potencia (gotas de 56 micrones) hasta ULV (gotas de 20-35 micrones). La salida y el tamaño de las gotas del 2600 se pueden seleccionar fácilmente con la perilla de ajuste de la boquilla. El 2600 (Flex-A-Lite) tiene una manguera flexible de 18 pulgadas para dirigir el rocío a sitios específicos. Cada nebulizador se construye y prueba individualmente para su rendimiento. </w:t>
      </w:r>
    </w:p>
    <w:tbl>
      <w:tblPr>
        <w:tblStyle w:val="Tablaconcuadrcula"/>
        <w:tblpPr w:leftFromText="141" w:rightFromText="141" w:vertAnchor="page" w:horzAnchor="margin" w:tblpXSpec="center" w:tblpY="5176"/>
        <w:tblW w:w="10180" w:type="dxa"/>
        <w:tblLook w:val="04A0" w:firstRow="1" w:lastRow="0" w:firstColumn="1" w:lastColumn="0" w:noHBand="0" w:noVBand="1"/>
      </w:tblPr>
      <w:tblGrid>
        <w:gridCol w:w="3412"/>
        <w:gridCol w:w="6768"/>
      </w:tblGrid>
      <w:tr w:rsidR="004C3786" w14:paraId="006AE858" w14:textId="77777777" w:rsidTr="004C3786">
        <w:trPr>
          <w:trHeight w:val="487"/>
        </w:trPr>
        <w:tc>
          <w:tcPr>
            <w:tcW w:w="3412" w:type="dxa"/>
          </w:tcPr>
          <w:p w14:paraId="27BFBEE5" w14:textId="77777777" w:rsidR="004C3786" w:rsidRPr="00644F0C" w:rsidRDefault="004C3786" w:rsidP="004C3786">
            <w:pPr>
              <w:jc w:val="right"/>
              <w:rPr>
                <w:rFonts w:ascii="Arial" w:hAnsi="Arial" w:cs="Arial"/>
                <w:b/>
                <w:bCs/>
                <w:color w:val="000000" w:themeColor="text1"/>
              </w:rPr>
            </w:pPr>
            <w:r w:rsidRPr="00644F0C">
              <w:rPr>
                <w:rFonts w:ascii="Arial" w:hAnsi="Arial" w:cs="Arial"/>
                <w:b/>
                <w:bCs/>
                <w:color w:val="000000" w:themeColor="text1"/>
              </w:rPr>
              <w:t>Para usar en</w:t>
            </w:r>
          </w:p>
        </w:tc>
        <w:tc>
          <w:tcPr>
            <w:tcW w:w="6768" w:type="dxa"/>
          </w:tcPr>
          <w:p w14:paraId="020B23D9" w14:textId="77777777" w:rsidR="004C3786" w:rsidRPr="00644F0C" w:rsidRDefault="004C3786" w:rsidP="004C3786">
            <w:pPr>
              <w:jc w:val="center"/>
              <w:rPr>
                <w:rFonts w:ascii="Arial" w:hAnsi="Arial" w:cs="Arial"/>
                <w:b/>
                <w:bCs/>
                <w:color w:val="000000" w:themeColor="text1"/>
              </w:rPr>
            </w:pPr>
            <w:r w:rsidRPr="00644F0C">
              <w:rPr>
                <w:rFonts w:ascii="Arial" w:hAnsi="Arial" w:cs="Arial"/>
                <w:b/>
                <w:bCs/>
                <w:color w:val="000000" w:themeColor="text1"/>
              </w:rPr>
              <w:t>Comercial y residencial: interiores y exteriores</w:t>
            </w:r>
          </w:p>
        </w:tc>
      </w:tr>
      <w:tr w:rsidR="004C3786" w14:paraId="260FBC14" w14:textId="77777777" w:rsidTr="004C3786">
        <w:trPr>
          <w:trHeight w:val="443"/>
        </w:trPr>
        <w:tc>
          <w:tcPr>
            <w:tcW w:w="3412" w:type="dxa"/>
          </w:tcPr>
          <w:p w14:paraId="20602767" w14:textId="77777777" w:rsidR="004C3786" w:rsidRPr="00644F0C" w:rsidRDefault="004C3786" w:rsidP="004C3786">
            <w:pPr>
              <w:jc w:val="right"/>
              <w:rPr>
                <w:rFonts w:ascii="Arial" w:hAnsi="Arial" w:cs="Arial"/>
                <w:b/>
                <w:bCs/>
                <w:color w:val="000000" w:themeColor="text1"/>
              </w:rPr>
            </w:pPr>
            <w:r w:rsidRPr="00644F0C">
              <w:rPr>
                <w:rFonts w:ascii="Arial" w:hAnsi="Arial" w:cs="Arial"/>
                <w:b/>
                <w:bCs/>
                <w:color w:val="000000" w:themeColor="text1"/>
              </w:rPr>
              <w:t>Tipo de pulverizador</w:t>
            </w:r>
          </w:p>
        </w:tc>
        <w:tc>
          <w:tcPr>
            <w:tcW w:w="6768" w:type="dxa"/>
          </w:tcPr>
          <w:p w14:paraId="23D46412" w14:textId="77777777" w:rsidR="004C3786" w:rsidRPr="00644F0C" w:rsidRDefault="004C3786" w:rsidP="004C3786">
            <w:pPr>
              <w:jc w:val="center"/>
              <w:rPr>
                <w:rFonts w:ascii="Arial" w:hAnsi="Arial" w:cs="Arial"/>
                <w:b/>
                <w:bCs/>
                <w:color w:val="000000" w:themeColor="text1"/>
              </w:rPr>
            </w:pPr>
            <w:proofErr w:type="spellStart"/>
            <w:r>
              <w:rPr>
                <w:rFonts w:ascii="Arial" w:hAnsi="Arial" w:cs="Arial"/>
                <w:b/>
                <w:bCs/>
                <w:color w:val="000000" w:themeColor="text1"/>
              </w:rPr>
              <w:t>fogger</w:t>
            </w:r>
            <w:proofErr w:type="spellEnd"/>
          </w:p>
        </w:tc>
      </w:tr>
      <w:tr w:rsidR="004C3786" w14:paraId="79CD9B4A" w14:textId="77777777" w:rsidTr="004C3786">
        <w:trPr>
          <w:trHeight w:val="487"/>
        </w:trPr>
        <w:tc>
          <w:tcPr>
            <w:tcW w:w="3412" w:type="dxa"/>
          </w:tcPr>
          <w:p w14:paraId="44AF0992" w14:textId="77777777" w:rsidR="004C3786" w:rsidRPr="00644F0C" w:rsidRDefault="004C3786" w:rsidP="004C3786">
            <w:pPr>
              <w:jc w:val="right"/>
              <w:rPr>
                <w:rFonts w:ascii="Arial" w:hAnsi="Arial" w:cs="Arial"/>
                <w:b/>
                <w:bCs/>
                <w:color w:val="000000" w:themeColor="text1"/>
              </w:rPr>
            </w:pPr>
            <w:r w:rsidRPr="00644F0C">
              <w:rPr>
                <w:rFonts w:ascii="Arial" w:hAnsi="Arial" w:cs="Arial"/>
                <w:b/>
                <w:bCs/>
                <w:color w:val="000000" w:themeColor="text1"/>
              </w:rPr>
              <w:t>Tamaño del tanque (gal.)</w:t>
            </w:r>
          </w:p>
        </w:tc>
        <w:tc>
          <w:tcPr>
            <w:tcW w:w="6768" w:type="dxa"/>
          </w:tcPr>
          <w:p w14:paraId="0A0EEE03" w14:textId="77777777" w:rsidR="004C3786" w:rsidRPr="00644F0C" w:rsidRDefault="004C3786" w:rsidP="004C3786">
            <w:pPr>
              <w:jc w:val="center"/>
              <w:rPr>
                <w:rFonts w:ascii="Arial" w:hAnsi="Arial" w:cs="Arial"/>
                <w:b/>
                <w:bCs/>
                <w:color w:val="000000" w:themeColor="text1"/>
              </w:rPr>
            </w:pPr>
            <w:r w:rsidRPr="00644F0C">
              <w:rPr>
                <w:rFonts w:ascii="Arial" w:hAnsi="Arial" w:cs="Arial"/>
                <w:b/>
                <w:bCs/>
                <w:color w:val="000000" w:themeColor="text1"/>
                <w:sz w:val="21"/>
                <w:szCs w:val="21"/>
                <w:shd w:val="clear" w:color="auto" w:fill="FFFFFF"/>
              </w:rPr>
              <w:t>1</w:t>
            </w:r>
            <w:r>
              <w:rPr>
                <w:rFonts w:ascii="Arial" w:hAnsi="Arial" w:cs="Arial"/>
                <w:b/>
                <w:bCs/>
                <w:color w:val="000000" w:themeColor="text1"/>
                <w:sz w:val="21"/>
                <w:szCs w:val="21"/>
                <w:shd w:val="clear" w:color="auto" w:fill="FFFFFF"/>
              </w:rPr>
              <w:t>.5</w:t>
            </w:r>
            <w:r w:rsidRPr="00644F0C">
              <w:rPr>
                <w:rFonts w:ascii="Arial" w:hAnsi="Arial" w:cs="Arial"/>
                <w:b/>
                <w:bCs/>
                <w:color w:val="000000" w:themeColor="text1"/>
                <w:sz w:val="21"/>
                <w:szCs w:val="21"/>
                <w:shd w:val="clear" w:color="auto" w:fill="FFFFFF"/>
              </w:rPr>
              <w:t xml:space="preserve"> galon</w:t>
            </w:r>
            <w:r>
              <w:rPr>
                <w:rFonts w:ascii="Arial" w:hAnsi="Arial" w:cs="Arial"/>
                <w:b/>
                <w:bCs/>
                <w:color w:val="000000" w:themeColor="text1"/>
                <w:sz w:val="21"/>
                <w:szCs w:val="21"/>
                <w:shd w:val="clear" w:color="auto" w:fill="FFFFFF"/>
              </w:rPr>
              <w:t>es</w:t>
            </w:r>
          </w:p>
        </w:tc>
      </w:tr>
      <w:tr w:rsidR="004C3786" w14:paraId="78F71EDA" w14:textId="77777777" w:rsidTr="004C3786">
        <w:trPr>
          <w:trHeight w:val="443"/>
        </w:trPr>
        <w:tc>
          <w:tcPr>
            <w:tcW w:w="3412" w:type="dxa"/>
          </w:tcPr>
          <w:p w14:paraId="5FCB5A8B" w14:textId="77777777" w:rsidR="004C3786" w:rsidRPr="00644F0C" w:rsidRDefault="004C3786" w:rsidP="004C3786">
            <w:pPr>
              <w:jc w:val="right"/>
              <w:rPr>
                <w:rFonts w:ascii="Arial" w:hAnsi="Arial" w:cs="Arial"/>
                <w:b/>
                <w:bCs/>
                <w:color w:val="000000" w:themeColor="text1"/>
              </w:rPr>
            </w:pPr>
            <w:r w:rsidRPr="00644F0C">
              <w:rPr>
                <w:rStyle w:val="Textoennegrita"/>
                <w:rFonts w:ascii="Arial" w:hAnsi="Arial" w:cs="Arial"/>
                <w:color w:val="000000" w:themeColor="text1"/>
                <w:sz w:val="21"/>
                <w:szCs w:val="21"/>
                <w:bdr w:val="single" w:sz="2" w:space="0" w:color="EBEBEB" w:frame="1"/>
              </w:rPr>
              <w:t>Material / Construcción</w:t>
            </w:r>
          </w:p>
        </w:tc>
        <w:tc>
          <w:tcPr>
            <w:tcW w:w="6768" w:type="dxa"/>
          </w:tcPr>
          <w:p w14:paraId="175D7FA8" w14:textId="77777777" w:rsidR="004C3786" w:rsidRPr="00644F0C" w:rsidRDefault="004C3786" w:rsidP="004C3786">
            <w:pPr>
              <w:jc w:val="center"/>
              <w:rPr>
                <w:rFonts w:ascii="Arial" w:hAnsi="Arial" w:cs="Arial"/>
                <w:b/>
                <w:bCs/>
                <w:color w:val="000000" w:themeColor="text1"/>
              </w:rPr>
            </w:pPr>
            <w:r w:rsidRPr="00DB223B">
              <w:rPr>
                <w:rFonts w:ascii="Arial" w:hAnsi="Arial" w:cs="Arial"/>
                <w:b/>
                <w:bCs/>
                <w:color w:val="000000" w:themeColor="text1"/>
                <w:sz w:val="21"/>
                <w:szCs w:val="21"/>
                <w:shd w:val="clear" w:color="auto" w:fill="FFFFFF"/>
              </w:rPr>
              <w:t>Tanque de plástico moldeado</w:t>
            </w:r>
          </w:p>
        </w:tc>
      </w:tr>
      <w:tr w:rsidR="004C3786" w14:paraId="5DB51705" w14:textId="77777777" w:rsidTr="004C3786">
        <w:trPr>
          <w:trHeight w:val="487"/>
        </w:trPr>
        <w:tc>
          <w:tcPr>
            <w:tcW w:w="3412" w:type="dxa"/>
          </w:tcPr>
          <w:p w14:paraId="3B6794B2" w14:textId="77777777" w:rsidR="004C3786" w:rsidRPr="00644F0C" w:rsidRDefault="004C3786" w:rsidP="004C3786">
            <w:pPr>
              <w:jc w:val="right"/>
              <w:rPr>
                <w:rFonts w:ascii="Arial" w:hAnsi="Arial" w:cs="Arial"/>
                <w:b/>
                <w:bCs/>
                <w:color w:val="000000" w:themeColor="text1"/>
              </w:rPr>
            </w:pPr>
            <w:r w:rsidRPr="00644F0C">
              <w:rPr>
                <w:rStyle w:val="Textoennegrita"/>
                <w:rFonts w:ascii="Arial" w:hAnsi="Arial" w:cs="Arial"/>
                <w:color w:val="000000" w:themeColor="text1"/>
                <w:sz w:val="21"/>
                <w:szCs w:val="21"/>
                <w:bdr w:val="single" w:sz="2" w:space="0" w:color="EBEBEB" w:frame="1"/>
              </w:rPr>
              <w:t>Longitud de la manguera (pulg.)</w:t>
            </w:r>
          </w:p>
        </w:tc>
        <w:tc>
          <w:tcPr>
            <w:tcW w:w="6768" w:type="dxa"/>
          </w:tcPr>
          <w:p w14:paraId="0FC0421D" w14:textId="77777777" w:rsidR="004C3786" w:rsidRPr="00644F0C" w:rsidRDefault="004C3786" w:rsidP="004C3786">
            <w:pPr>
              <w:jc w:val="center"/>
              <w:rPr>
                <w:rFonts w:ascii="Arial" w:hAnsi="Arial" w:cs="Arial"/>
                <w:b/>
                <w:bCs/>
                <w:color w:val="000000" w:themeColor="text1"/>
              </w:rPr>
            </w:pPr>
            <w:r w:rsidRPr="00DB223B">
              <w:rPr>
                <w:rFonts w:ascii="Arial" w:hAnsi="Arial" w:cs="Arial"/>
                <w:b/>
                <w:bCs/>
                <w:color w:val="000000" w:themeColor="text1"/>
                <w:sz w:val="21"/>
                <w:szCs w:val="21"/>
                <w:shd w:val="clear" w:color="auto" w:fill="FFFFFF"/>
              </w:rPr>
              <w:t>18 pulg.</w:t>
            </w:r>
          </w:p>
        </w:tc>
      </w:tr>
      <w:tr w:rsidR="004C3786" w14:paraId="1C8CCFB0" w14:textId="77777777" w:rsidTr="004C3786">
        <w:trPr>
          <w:trHeight w:val="487"/>
        </w:trPr>
        <w:tc>
          <w:tcPr>
            <w:tcW w:w="3412" w:type="dxa"/>
          </w:tcPr>
          <w:p w14:paraId="0740F569" w14:textId="77777777" w:rsidR="004C3786" w:rsidRPr="00644F0C" w:rsidRDefault="004C3786" w:rsidP="004C3786">
            <w:pPr>
              <w:jc w:val="right"/>
              <w:rPr>
                <w:rFonts w:ascii="Arial" w:hAnsi="Arial" w:cs="Arial"/>
                <w:b/>
                <w:bCs/>
                <w:color w:val="000000" w:themeColor="text1"/>
              </w:rPr>
            </w:pPr>
            <w:r>
              <w:rPr>
                <w:rStyle w:val="Textoennegrita"/>
                <w:sz w:val="21"/>
                <w:szCs w:val="21"/>
                <w:bdr w:val="single" w:sz="2" w:space="0" w:color="EBEBEB" w:frame="1"/>
              </w:rPr>
              <w:t>Tamaño de gota</w:t>
            </w:r>
          </w:p>
        </w:tc>
        <w:tc>
          <w:tcPr>
            <w:tcW w:w="6768" w:type="dxa"/>
          </w:tcPr>
          <w:p w14:paraId="294B674C" w14:textId="27C796D4" w:rsidR="004728AC" w:rsidRDefault="004C3786" w:rsidP="004728AC">
            <w:pPr>
              <w:jc w:val="both"/>
              <w:rPr>
                <w:rFonts w:ascii="Arial" w:hAnsi="Arial" w:cs="Arial"/>
                <w:b/>
                <w:bCs/>
              </w:rPr>
            </w:pPr>
            <w:r w:rsidRPr="004C3786">
              <w:rPr>
                <w:rFonts w:ascii="Arial" w:hAnsi="Arial" w:cs="Arial"/>
                <w:b/>
                <w:bCs/>
                <w:color w:val="000000" w:themeColor="text1"/>
                <w:sz w:val="21"/>
                <w:szCs w:val="21"/>
                <w:shd w:val="clear" w:color="auto" w:fill="FFFFFF"/>
              </w:rPr>
              <w:t xml:space="preserve">El tamaño de la gota de un </w:t>
            </w:r>
            <w:r w:rsidR="004728AC" w:rsidRPr="0084564D">
              <w:rPr>
                <w:rFonts w:ascii="Arial" w:hAnsi="Arial" w:cs="Arial"/>
                <w:b/>
                <w:bCs/>
              </w:rPr>
              <w:t>Nebulizador B&amp;G FLEX-I-LITE 2600</w:t>
            </w:r>
          </w:p>
          <w:p w14:paraId="62136168" w14:textId="2EF20D92" w:rsidR="004C3786" w:rsidRPr="00644F0C" w:rsidRDefault="004C3786" w:rsidP="004C3786">
            <w:pPr>
              <w:jc w:val="center"/>
              <w:rPr>
                <w:rFonts w:ascii="Arial" w:hAnsi="Arial" w:cs="Arial"/>
                <w:b/>
                <w:bCs/>
                <w:color w:val="000000" w:themeColor="text1"/>
              </w:rPr>
            </w:pPr>
            <w:r w:rsidRPr="004C3786">
              <w:rPr>
                <w:rFonts w:ascii="Arial" w:hAnsi="Arial" w:cs="Arial"/>
                <w:b/>
                <w:bCs/>
                <w:color w:val="000000" w:themeColor="text1"/>
                <w:sz w:val="21"/>
                <w:szCs w:val="21"/>
                <w:shd w:val="clear" w:color="auto" w:fill="FFFFFF"/>
              </w:rPr>
              <w:t xml:space="preserve"> (gotas de 20-35 micrones)</w:t>
            </w:r>
          </w:p>
        </w:tc>
      </w:tr>
    </w:tbl>
    <w:p w14:paraId="7259D5B0" w14:textId="02CC7537" w:rsidR="00644F0C" w:rsidRPr="00644F0C" w:rsidRDefault="004C3786" w:rsidP="00644F0C">
      <w:pPr>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720AEE32" wp14:editId="40869F1B">
            <wp:simplePos x="0" y="0"/>
            <wp:positionH relativeFrom="column">
              <wp:posOffset>529590</wp:posOffset>
            </wp:positionH>
            <wp:positionV relativeFrom="paragraph">
              <wp:posOffset>2992755</wp:posOffset>
            </wp:positionV>
            <wp:extent cx="4286250" cy="33051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3305175"/>
                    </a:xfrm>
                    <a:prstGeom prst="rect">
                      <a:avLst/>
                    </a:prstGeom>
                    <a:noFill/>
                    <a:ln>
                      <a:noFill/>
                    </a:ln>
                  </pic:spPr>
                </pic:pic>
              </a:graphicData>
            </a:graphic>
          </wp:anchor>
        </w:drawing>
      </w:r>
    </w:p>
    <w:sectPr w:rsidR="00644F0C" w:rsidRPr="00644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0C"/>
    <w:rsid w:val="002104CC"/>
    <w:rsid w:val="0030349B"/>
    <w:rsid w:val="004728AC"/>
    <w:rsid w:val="004C3786"/>
    <w:rsid w:val="00590EB1"/>
    <w:rsid w:val="00644F0C"/>
    <w:rsid w:val="0084564D"/>
    <w:rsid w:val="00873174"/>
    <w:rsid w:val="008A20B7"/>
    <w:rsid w:val="00DB22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5FE4"/>
  <w15:chartTrackingRefBased/>
  <w15:docId w15:val="{45D00318-C65D-499A-8F16-8F0DFC74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4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80711">
      <w:bodyDiv w:val="1"/>
      <w:marLeft w:val="0"/>
      <w:marRight w:val="0"/>
      <w:marTop w:val="0"/>
      <w:marBottom w:val="0"/>
      <w:divBdr>
        <w:top w:val="none" w:sz="0" w:space="0" w:color="auto"/>
        <w:left w:val="none" w:sz="0" w:space="0" w:color="auto"/>
        <w:bottom w:val="none" w:sz="0" w:space="0" w:color="auto"/>
        <w:right w:val="none" w:sz="0" w:space="0" w:color="auto"/>
      </w:divBdr>
    </w:div>
    <w:div w:id="12841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2021-01-08T22:35:00Z</dcterms:created>
  <dcterms:modified xsi:type="dcterms:W3CDTF">2021-01-09T20:27:00Z</dcterms:modified>
</cp:coreProperties>
</file>